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2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3000000">
            <w:pPr>
              <w:spacing w:after="0" w:before="0"/>
              <w:ind w:firstLine="0" w:left="0" w:right="0"/>
              <w:jc w:val="both"/>
              <w:rPr>
                <w:b w:val="0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</w:t>
            </w:r>
            <w:r>
              <w:rPr>
                <w:rFonts w:ascii="Times New Roman" w:hAnsi="Times New Roman"/>
                <w:b w:val="1"/>
                <w:sz w:val="28"/>
              </w:rPr>
              <w:t>езидент РФ утвердил перечень поручений по вопросам подготовки кадров для экономики</w:t>
            </w:r>
          </w:p>
        </w:tc>
      </w:tr>
    </w:tbl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5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</w:t>
      </w:r>
      <w:r>
        <w:rPr>
          <w:rFonts w:ascii="Times New Roman" w:hAnsi="Times New Roman"/>
          <w:b w:val="0"/>
          <w:sz w:val="28"/>
        </w:rPr>
        <w:t>В частности, поручено обеспечить внесение в законодательство РФ изменений, предусматривающих в том числе: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sz w:val="28"/>
        </w:rPr>
        <w:t>установление обязательств заказчика целевого обучения по участию в организации практической подготовки гражданина, с которым заключен договор о целевом обучении, а также по индивидуальному сопровождению такого гражданина в период получения им образования представителем заказчика целевого обучения или организации, в которую будет трудоустроен гражданин в соответствии с договором о целевом обучении (наставником);</w:t>
      </w:r>
      <w:r>
        <w:rPr>
          <w:rFonts w:ascii="Times New Roman" w:hAnsi="Times New Roman"/>
          <w:b w:val="0"/>
          <w:sz w:val="28"/>
        </w:rPr>
        <w:t>конкретизацию мер поддержки, предоставляемых заказчиком целевого обучения гражданину в обязательном порядке в период получения им образования, включая меры материального стимулирования преимущественно в денежной форме (в том числе выплата стипендий), с указанием в договоре о целевом обучении порядка, сроков предоставления таких мер, их размеров;</w:t>
      </w:r>
      <w:r>
        <w:rPr>
          <w:rFonts w:ascii="Times New Roman" w:hAnsi="Times New Roman"/>
          <w:b w:val="0"/>
          <w:sz w:val="28"/>
        </w:rPr>
        <w:t>включение в дипломы о среднем профессиональном образовании сведений, отражающих детализированную информацию о результатах прохождения государственной итоговой аттестации по соответствующим образовательным программам в форме демонстрационного экзамена, а также информацию о результатах участия в чемпионатах (конкурсах) профессионального мастерства;</w:t>
      </w:r>
      <w:r>
        <w:rPr>
          <w:rFonts w:ascii="Times New Roman" w:hAnsi="Times New Roman"/>
          <w:b w:val="0"/>
          <w:sz w:val="28"/>
        </w:rPr>
        <w:t>определение стажировок как вида трудовых отношений, носящих срочный характер, в целях приобретения первичного опыта профессиональной деятельности, практических навыков и (или) адаптации к трудовой деятельности, а также закрепление понятий "стажер" и "трудоустройство на стажировку";</w:t>
      </w:r>
      <w:r>
        <w:rPr>
          <w:rFonts w:ascii="Times New Roman" w:hAnsi="Times New Roman"/>
          <w:b w:val="0"/>
          <w:sz w:val="28"/>
        </w:rPr>
        <w:t xml:space="preserve">возможность совмещения государственной итоговой аттестации по образовательным программам высшего образования и независимой оценки квалификации; </w:t>
      </w:r>
      <w:r>
        <w:rPr>
          <w:rFonts w:ascii="Times New Roman" w:hAnsi="Times New Roman"/>
          <w:b w:val="0"/>
          <w:sz w:val="28"/>
        </w:rPr>
        <w:t xml:space="preserve">создание механизма установления взаимосвязей между профессиями, специальностями, направлениями подготовки, квалификациями в системе образования и видами профессиональной деятельности, профессиональными квалификациями в сфере труда. </w:t>
      </w:r>
      <w:r>
        <w:rPr>
          <w:rFonts w:ascii="Times New Roman" w:hAnsi="Times New Roman"/>
          <w:b w:val="0"/>
          <w:sz w:val="28"/>
        </w:rPr>
        <w:t>Также поручено утвердить единые рекомендации для работодателей, в том числе: по сопровождению при трудоустройстве, трудовой адаптации, социальному сопровождению и профессиональному развитию ветеранов боевых действий, принимавших участие (содействовавших выполнению задач) в специальной военной операции; по разработке карьерных траекторий для работников в возрасте старше 50 лет, включая освоение ими цифровых навыков.</w:t>
      </w:r>
    </w:p>
    <w:p w14:paraId="06000000">
      <w:pPr>
        <w:spacing w:after="0" w:before="0" w:line="240" w:lineRule="exact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 w:line="240" w:lineRule="exact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0A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0B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D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2026-02-18T07:14:33Z</dcterms:modified>
</cp:coreProperties>
</file>